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widowControl/>
        <w:jc w:val="center"/>
        <w:rPr>
          <w:rFonts w:ascii="隶书" w:hAnsi="黑体" w:eastAsia="隶书" w:cs="Times New Roman"/>
          <w:b/>
          <w:bCs/>
          <w:color w:val="333333"/>
          <w:sz w:val="36"/>
          <w:szCs w:val="36"/>
        </w:rPr>
      </w:pPr>
      <w:r>
        <w:rPr>
          <w:rFonts w:hint="eastAsia" w:ascii="隶书" w:hAnsi="黑体" w:eastAsia="隶书" w:cs="隶书"/>
          <w:b/>
          <w:bCs/>
          <w:color w:val="333333"/>
          <w:sz w:val="36"/>
          <w:szCs w:val="36"/>
        </w:rPr>
        <w:t>理学院</w:t>
      </w:r>
      <w:r>
        <w:rPr>
          <w:rFonts w:ascii="隶书" w:hAnsi="黑体" w:eastAsia="隶书" w:cs="隶书"/>
          <w:b/>
          <w:bCs/>
          <w:color w:val="333333"/>
          <w:sz w:val="36"/>
          <w:szCs w:val="36"/>
        </w:rPr>
        <w:t>2019</w:t>
      </w:r>
      <w:r>
        <w:rPr>
          <w:rFonts w:hint="eastAsia" w:ascii="隶书" w:hAnsi="黑体" w:eastAsia="隶书" w:cs="隶书"/>
          <w:b/>
          <w:bCs/>
          <w:color w:val="333333"/>
          <w:sz w:val="36"/>
          <w:szCs w:val="36"/>
        </w:rPr>
        <w:t>年</w:t>
      </w:r>
      <w:r>
        <w:rPr>
          <w:rFonts w:hint="eastAsia" w:ascii="隶书" w:hAnsi="黑体" w:eastAsia="隶书" w:cs="隶书"/>
          <w:b/>
          <w:bCs/>
          <w:spacing w:val="1"/>
          <w:sz w:val="36"/>
          <w:szCs w:val="36"/>
        </w:rPr>
        <w:t>专业学位</w:t>
      </w:r>
      <w:r>
        <w:rPr>
          <w:rFonts w:hint="eastAsia" w:ascii="隶书" w:hAnsi="黑体" w:eastAsia="隶书" w:cs="隶书"/>
          <w:b/>
          <w:bCs/>
          <w:color w:val="333333"/>
          <w:sz w:val="36"/>
          <w:szCs w:val="36"/>
        </w:rPr>
        <w:t>硕士研究生指导教师上岗招生</w:t>
      </w:r>
    </w:p>
    <w:p>
      <w:pPr>
        <w:pStyle w:val="7"/>
        <w:widowControl/>
        <w:jc w:val="center"/>
        <w:rPr>
          <w:rFonts w:ascii="隶书" w:hAnsi="黑体" w:eastAsia="隶书" w:cs="Times New Roman"/>
          <w:b/>
          <w:bCs/>
          <w:sz w:val="36"/>
          <w:szCs w:val="36"/>
        </w:rPr>
      </w:pPr>
      <w:r>
        <w:rPr>
          <w:rFonts w:hint="eastAsia" w:ascii="隶书" w:hAnsi="黑体" w:eastAsia="隶书" w:cs="隶书"/>
          <w:b/>
          <w:bCs/>
          <w:color w:val="333333"/>
          <w:sz w:val="36"/>
          <w:szCs w:val="36"/>
        </w:rPr>
        <w:t>申请制实施细则</w:t>
      </w:r>
    </w:p>
    <w:p>
      <w:pPr>
        <w:rPr>
          <w:rFonts w:cs="Times New Roman"/>
          <w:lang w:eastAsia="zh-CN"/>
        </w:rPr>
      </w:pPr>
    </w:p>
    <w:p>
      <w:pPr>
        <w:pStyle w:val="3"/>
        <w:spacing w:line="360" w:lineRule="auto"/>
        <w:ind w:left="0" w:firstLine="560" w:firstLineChars="200"/>
        <w:jc w:val="both"/>
        <w:rPr>
          <w:rFonts w:ascii="Times New Roman" w:hAnsi="Times New Roman" w:cs="Times New Roman"/>
          <w:sz w:val="28"/>
          <w:szCs w:val="28"/>
          <w:lang w:eastAsia="zh-CN"/>
        </w:rPr>
      </w:pPr>
      <w:r>
        <w:rPr>
          <w:rFonts w:hint="eastAsia" w:ascii="Times New Roman" w:hAnsi="Times New Roman"/>
          <w:sz w:val="28"/>
          <w:szCs w:val="28"/>
          <w:lang w:eastAsia="zh-CN"/>
        </w:rPr>
        <w:t>为加强本院专业学位研究生指导教师队伍建设和管理，提高专业学位研究生培养质量，推动专业学位研究生教</w:t>
      </w:r>
      <w:r>
        <w:rPr>
          <w:rFonts w:hint="eastAsia" w:ascii="Times New Roman" w:hAnsi="Times New Roman"/>
          <w:spacing w:val="1"/>
          <w:w w:val="95"/>
          <w:sz w:val="28"/>
          <w:szCs w:val="28"/>
          <w:lang w:eastAsia="zh-CN"/>
        </w:rPr>
        <w:t>育</w:t>
      </w:r>
      <w:r>
        <w:rPr>
          <w:rFonts w:hint="eastAsia" w:ascii="Times New Roman" w:hAnsi="Times New Roman"/>
          <w:w w:val="95"/>
          <w:sz w:val="28"/>
          <w:szCs w:val="28"/>
          <w:lang w:eastAsia="zh-CN"/>
        </w:rPr>
        <w:t>的综</w:t>
      </w:r>
      <w:r>
        <w:rPr>
          <w:rFonts w:hint="eastAsia" w:ascii="Times New Roman" w:hAnsi="Times New Roman"/>
          <w:spacing w:val="1"/>
          <w:w w:val="95"/>
          <w:sz w:val="28"/>
          <w:szCs w:val="28"/>
          <w:lang w:eastAsia="zh-CN"/>
        </w:rPr>
        <w:t>合</w:t>
      </w:r>
      <w:r>
        <w:rPr>
          <w:rFonts w:hint="eastAsia" w:ascii="Times New Roman" w:hAnsi="Times New Roman"/>
          <w:w w:val="95"/>
          <w:sz w:val="28"/>
          <w:szCs w:val="28"/>
          <w:lang w:eastAsia="zh-CN"/>
        </w:rPr>
        <w:t>改革和专业学位研究生</w:t>
      </w:r>
      <w:r>
        <w:rPr>
          <w:rFonts w:hint="eastAsia" w:ascii="Times New Roman" w:hAnsi="Times New Roman"/>
          <w:spacing w:val="1"/>
          <w:w w:val="95"/>
          <w:sz w:val="28"/>
          <w:szCs w:val="28"/>
          <w:lang w:eastAsia="zh-CN"/>
        </w:rPr>
        <w:t>教</w:t>
      </w:r>
      <w:r>
        <w:rPr>
          <w:rFonts w:hint="eastAsia" w:ascii="Times New Roman" w:hAnsi="Times New Roman"/>
          <w:w w:val="95"/>
          <w:sz w:val="28"/>
          <w:szCs w:val="28"/>
          <w:lang w:eastAsia="zh-CN"/>
        </w:rPr>
        <w:t>育的</w:t>
      </w:r>
      <w:r>
        <w:rPr>
          <w:rFonts w:hint="eastAsia" w:ascii="Times New Roman" w:hAnsi="Times New Roman"/>
          <w:spacing w:val="1"/>
          <w:w w:val="95"/>
          <w:sz w:val="28"/>
          <w:szCs w:val="28"/>
          <w:lang w:eastAsia="zh-CN"/>
        </w:rPr>
        <w:t>健</w:t>
      </w:r>
      <w:r>
        <w:rPr>
          <w:rFonts w:hint="eastAsia" w:ascii="Times New Roman" w:hAnsi="Times New Roman"/>
          <w:w w:val="95"/>
          <w:sz w:val="28"/>
          <w:szCs w:val="28"/>
          <w:lang w:eastAsia="zh-CN"/>
        </w:rPr>
        <w:t>康</w:t>
      </w:r>
      <w:r>
        <w:rPr>
          <w:rFonts w:hint="eastAsia" w:ascii="Times New Roman" w:hAnsi="Times New Roman"/>
          <w:spacing w:val="-8"/>
          <w:w w:val="95"/>
          <w:sz w:val="28"/>
          <w:szCs w:val="28"/>
          <w:lang w:eastAsia="zh-CN"/>
        </w:rPr>
        <w:t>、</w:t>
      </w:r>
      <w:r>
        <w:rPr>
          <w:rFonts w:hint="eastAsia" w:ascii="Times New Roman" w:hAnsi="Times New Roman"/>
          <w:w w:val="95"/>
          <w:sz w:val="28"/>
          <w:szCs w:val="28"/>
          <w:lang w:eastAsia="zh-CN"/>
        </w:rPr>
        <w:t>可</w:t>
      </w:r>
      <w:r>
        <w:rPr>
          <w:rFonts w:hint="eastAsia" w:ascii="Times New Roman" w:hAnsi="Times New Roman"/>
          <w:spacing w:val="1"/>
          <w:w w:val="95"/>
          <w:sz w:val="28"/>
          <w:szCs w:val="28"/>
          <w:lang w:eastAsia="zh-CN"/>
        </w:rPr>
        <w:t>持</w:t>
      </w:r>
      <w:r>
        <w:rPr>
          <w:rFonts w:hint="eastAsia" w:ascii="Times New Roman" w:hAnsi="Times New Roman"/>
          <w:w w:val="95"/>
          <w:sz w:val="28"/>
          <w:szCs w:val="28"/>
          <w:lang w:eastAsia="zh-CN"/>
        </w:rPr>
        <w:t>续</w:t>
      </w:r>
      <w:r>
        <w:rPr>
          <w:rFonts w:hint="eastAsia" w:ascii="Times New Roman" w:hAnsi="Times New Roman"/>
          <w:spacing w:val="-8"/>
          <w:w w:val="95"/>
          <w:sz w:val="28"/>
          <w:szCs w:val="28"/>
          <w:lang w:eastAsia="zh-CN"/>
        </w:rPr>
        <w:t>、</w:t>
      </w:r>
      <w:r>
        <w:rPr>
          <w:rFonts w:hint="eastAsia" w:ascii="Times New Roman" w:hAnsi="Times New Roman"/>
          <w:spacing w:val="1"/>
          <w:w w:val="95"/>
          <w:sz w:val="28"/>
          <w:szCs w:val="28"/>
          <w:lang w:eastAsia="zh-CN"/>
        </w:rPr>
        <w:t>协</w:t>
      </w:r>
      <w:r>
        <w:rPr>
          <w:rFonts w:hint="eastAsia" w:ascii="Times New Roman" w:hAnsi="Times New Roman"/>
          <w:w w:val="95"/>
          <w:sz w:val="28"/>
          <w:szCs w:val="28"/>
          <w:lang w:eastAsia="zh-CN"/>
        </w:rPr>
        <w:t>调</w:t>
      </w:r>
      <w:r>
        <w:rPr>
          <w:rFonts w:hint="eastAsia" w:ascii="Times New Roman" w:hAnsi="Times New Roman"/>
          <w:sz w:val="28"/>
          <w:szCs w:val="28"/>
          <w:lang w:eastAsia="zh-CN"/>
        </w:rPr>
        <w:t>发展，根据《</w:t>
      </w:r>
      <w:r>
        <w:rPr>
          <w:rFonts w:hint="eastAsia" w:ascii="Times New Roman" w:hAnsi="Times New Roman"/>
          <w:spacing w:val="1"/>
          <w:w w:val="95"/>
          <w:sz w:val="28"/>
          <w:szCs w:val="28"/>
          <w:lang w:eastAsia="zh-CN"/>
        </w:rPr>
        <w:t>南通大学研究生指导教师管理办法》</w:t>
      </w:r>
      <w:r>
        <w:rPr>
          <w:rFonts w:ascii="Times New Roman" w:hAnsi="Times New Roman" w:cs="Times New Roman"/>
          <w:sz w:val="28"/>
          <w:szCs w:val="28"/>
          <w:lang w:eastAsia="zh-CN"/>
        </w:rPr>
        <w:t>(</w:t>
      </w:r>
      <w:r>
        <w:rPr>
          <w:rFonts w:hint="eastAsia" w:ascii="Times New Roman" w:hAnsi="Times New Roman"/>
          <w:sz w:val="28"/>
          <w:szCs w:val="28"/>
          <w:lang w:eastAsia="zh-CN"/>
        </w:rPr>
        <w:t>通大</w:t>
      </w:r>
      <w:r>
        <w:rPr>
          <w:rFonts w:ascii="Times New Roman" w:hAnsi="Times New Roman" w:cs="Times New Roman"/>
          <w:sz w:val="28"/>
          <w:szCs w:val="28"/>
          <w:lang w:eastAsia="zh-CN"/>
        </w:rPr>
        <w:t>[2018] 19</w:t>
      </w:r>
      <w:r>
        <w:rPr>
          <w:rFonts w:hint="eastAsia" w:ascii="Times New Roman" w:hAnsi="Times New Roman"/>
          <w:sz w:val="28"/>
          <w:szCs w:val="28"/>
          <w:lang w:eastAsia="zh-CN"/>
        </w:rPr>
        <w:t>号</w:t>
      </w:r>
      <w:r>
        <w:rPr>
          <w:rFonts w:ascii="Times New Roman" w:hAnsi="Times New Roman" w:cs="Times New Roman"/>
          <w:sz w:val="28"/>
          <w:szCs w:val="28"/>
          <w:lang w:eastAsia="zh-CN"/>
        </w:rPr>
        <w:t>)</w:t>
      </w:r>
      <w:r>
        <w:rPr>
          <w:rFonts w:hint="eastAsia" w:ascii="Times New Roman" w:hAnsi="Times New Roman"/>
          <w:sz w:val="28"/>
          <w:szCs w:val="28"/>
          <w:lang w:eastAsia="zh-CN"/>
        </w:rPr>
        <w:t>的精神，结合理学院专业学位硕士研究生教育的特点，制定本实施细则。</w:t>
      </w:r>
    </w:p>
    <w:p>
      <w:pPr>
        <w:pStyle w:val="3"/>
        <w:spacing w:beforeLines="50" w:line="360" w:lineRule="auto"/>
        <w:ind w:left="0" w:firstLine="0"/>
        <w:rPr>
          <w:rFonts w:cs="Times New Roman"/>
          <w:b/>
          <w:bCs/>
          <w:spacing w:val="4"/>
          <w:sz w:val="30"/>
          <w:szCs w:val="30"/>
          <w:lang w:eastAsia="zh-CN"/>
        </w:rPr>
      </w:pPr>
      <w:r>
        <w:rPr>
          <w:rFonts w:hint="eastAsia"/>
          <w:b/>
          <w:bCs/>
          <w:spacing w:val="4"/>
          <w:sz w:val="30"/>
          <w:szCs w:val="30"/>
          <w:lang w:eastAsia="zh-CN"/>
        </w:rPr>
        <w:t>一、基本原则</w:t>
      </w:r>
      <w:r>
        <w:rPr>
          <w:b/>
          <w:bCs/>
          <w:spacing w:val="4"/>
          <w:sz w:val="30"/>
          <w:szCs w:val="30"/>
          <w:lang w:eastAsia="zh-CN"/>
        </w:rPr>
        <w:t xml:space="preserve"> </w:t>
      </w:r>
    </w:p>
    <w:p>
      <w:pPr>
        <w:pStyle w:val="3"/>
        <w:spacing w:line="360" w:lineRule="auto"/>
        <w:ind w:left="121" w:leftChars="55" w:firstLine="420" w:firstLineChars="150"/>
        <w:jc w:val="both"/>
        <w:rPr>
          <w:rFonts w:ascii="Times New Roman" w:hAnsi="Times New Roman" w:cs="Times New Roman"/>
          <w:sz w:val="28"/>
          <w:szCs w:val="28"/>
          <w:lang w:eastAsia="zh-CN"/>
        </w:rPr>
      </w:pPr>
      <w:r>
        <w:rPr>
          <w:rFonts w:ascii="Times New Roman" w:hAnsi="Times New Roman" w:cs="Times New Roman"/>
          <w:sz w:val="28"/>
          <w:szCs w:val="28"/>
          <w:lang w:eastAsia="zh-CN"/>
        </w:rPr>
        <w:t>1</w:t>
      </w:r>
      <w:r>
        <w:rPr>
          <w:rFonts w:hint="eastAsia" w:ascii="Times New Roman" w:hAnsi="Times New Roman"/>
          <w:sz w:val="28"/>
          <w:szCs w:val="28"/>
          <w:lang w:eastAsia="zh-CN"/>
        </w:rPr>
        <w:t>．专业学位研究生指导教师是指导和培养高层次专门学术人才的重要工作岗位，不是一个固定的头衔。</w:t>
      </w:r>
    </w:p>
    <w:p>
      <w:pPr>
        <w:pStyle w:val="3"/>
        <w:spacing w:line="360" w:lineRule="auto"/>
        <w:ind w:left="121" w:leftChars="55" w:firstLine="420" w:firstLineChars="150"/>
        <w:jc w:val="both"/>
        <w:rPr>
          <w:rFonts w:ascii="Times New Roman" w:hAnsi="Times New Roman" w:cs="Times New Roman"/>
          <w:sz w:val="28"/>
          <w:szCs w:val="28"/>
          <w:lang w:eastAsia="zh-CN"/>
        </w:rPr>
      </w:pPr>
      <w:r>
        <w:rPr>
          <w:rFonts w:ascii="Times New Roman" w:hAnsi="Times New Roman" w:cs="Times New Roman"/>
          <w:sz w:val="28"/>
          <w:szCs w:val="28"/>
          <w:lang w:eastAsia="zh-CN"/>
        </w:rPr>
        <w:t>2</w:t>
      </w:r>
      <w:r>
        <w:rPr>
          <w:rFonts w:hint="eastAsia" w:ascii="Times New Roman" w:hAnsi="Times New Roman"/>
          <w:sz w:val="28"/>
          <w:szCs w:val="28"/>
          <w:lang w:eastAsia="zh-CN"/>
        </w:rPr>
        <w:t>．顺应专业学位研究生教育的改革需求，实行专业学位研究生指导教师上岗招生申请制，建立基于专业学位研究生培养绩效的动态调整机制。</w:t>
      </w:r>
    </w:p>
    <w:p>
      <w:pPr>
        <w:pStyle w:val="3"/>
        <w:spacing w:line="360" w:lineRule="auto"/>
        <w:ind w:left="121" w:leftChars="55" w:firstLine="420" w:firstLineChars="150"/>
        <w:jc w:val="both"/>
        <w:rPr>
          <w:rFonts w:ascii="Times New Roman" w:hAnsi="Times New Roman" w:cs="Times New Roman"/>
          <w:sz w:val="28"/>
          <w:szCs w:val="28"/>
          <w:lang w:eastAsia="zh-CN"/>
        </w:rPr>
      </w:pPr>
      <w:r>
        <w:rPr>
          <w:rFonts w:ascii="Times New Roman" w:hAnsi="Times New Roman" w:cs="Times New Roman"/>
          <w:sz w:val="28"/>
          <w:szCs w:val="28"/>
          <w:lang w:eastAsia="zh-CN"/>
        </w:rPr>
        <w:t>3</w:t>
      </w:r>
      <w:r>
        <w:rPr>
          <w:rFonts w:hint="eastAsia" w:ascii="Times New Roman" w:hAnsi="Times New Roman"/>
          <w:sz w:val="28"/>
          <w:szCs w:val="28"/>
          <w:lang w:eastAsia="zh-CN"/>
        </w:rPr>
        <w:t>．上岗招生实行个人申请制，逢招生必申请；依据本学院的专业学位研究生指导教师上岗招生申请实施细则，择优选拔上岗。</w:t>
      </w:r>
    </w:p>
    <w:p>
      <w:pPr>
        <w:pStyle w:val="3"/>
        <w:spacing w:line="360" w:lineRule="auto"/>
        <w:ind w:left="121" w:leftChars="55" w:firstLine="420" w:firstLineChars="150"/>
        <w:jc w:val="both"/>
        <w:rPr>
          <w:rFonts w:ascii="Times New Roman" w:hAnsi="Times New Roman" w:cs="Times New Roman"/>
          <w:sz w:val="28"/>
          <w:szCs w:val="28"/>
          <w:lang w:eastAsia="zh-CN"/>
        </w:rPr>
      </w:pPr>
      <w:r>
        <w:rPr>
          <w:rFonts w:ascii="Times New Roman" w:hAnsi="Times New Roman" w:cs="Times New Roman"/>
          <w:sz w:val="28"/>
          <w:szCs w:val="28"/>
          <w:lang w:eastAsia="zh-CN"/>
        </w:rPr>
        <w:t>4</w:t>
      </w:r>
      <w:r>
        <w:rPr>
          <w:rFonts w:hint="eastAsia" w:ascii="Times New Roman" w:hAnsi="Times New Roman"/>
          <w:sz w:val="28"/>
          <w:szCs w:val="28"/>
          <w:lang w:eastAsia="zh-CN"/>
        </w:rPr>
        <w:t>．申请上岗招生的教师能够全面落实研究生指导教师立德树人职责，能够落实研究生指导教师是研究生培养第一责任人的要求，坚持社会主义办学方向，坚持教书和育人相统一，坚持言传和身教相统一，坚持潜心学问和关注社会相统一，坚持学术自由和学术规范相统一，以德立身、以德立学、以德施教。身心健康，具有良好的师生关系，能认真履行研究生指导教师岗位职责。</w:t>
      </w:r>
    </w:p>
    <w:p>
      <w:pPr>
        <w:pStyle w:val="3"/>
        <w:spacing w:beforeLines="50" w:line="360" w:lineRule="auto"/>
        <w:ind w:left="0" w:firstLine="0"/>
        <w:jc w:val="both"/>
        <w:rPr>
          <w:rFonts w:cs="Times New Roman"/>
          <w:b/>
          <w:bCs/>
          <w:spacing w:val="7"/>
          <w:sz w:val="30"/>
          <w:szCs w:val="30"/>
          <w:lang w:eastAsia="zh-CN"/>
        </w:rPr>
      </w:pPr>
      <w:r>
        <w:rPr>
          <w:rFonts w:hint="eastAsia"/>
          <w:b/>
          <w:bCs/>
          <w:spacing w:val="7"/>
          <w:sz w:val="30"/>
          <w:szCs w:val="30"/>
          <w:lang w:eastAsia="zh-CN"/>
        </w:rPr>
        <w:t>二、专业学位硕士研究生导师上岗审核基本条件</w:t>
      </w:r>
    </w:p>
    <w:p>
      <w:pPr>
        <w:pStyle w:val="3"/>
        <w:spacing w:line="360" w:lineRule="auto"/>
        <w:ind w:left="0" w:firstLine="576" w:firstLineChars="196"/>
        <w:jc w:val="both"/>
        <w:rPr>
          <w:rFonts w:ascii="Times New Roman" w:hAnsi="Times New Roman" w:cs="Times New Roman"/>
          <w:spacing w:val="7"/>
          <w:sz w:val="28"/>
          <w:szCs w:val="28"/>
          <w:lang w:eastAsia="zh-CN"/>
        </w:rPr>
      </w:pPr>
      <w:r>
        <w:rPr>
          <w:rFonts w:ascii="Times New Roman" w:hAnsi="Times New Roman" w:cs="Times New Roman"/>
          <w:spacing w:val="7"/>
          <w:sz w:val="28"/>
          <w:szCs w:val="28"/>
          <w:lang w:eastAsia="zh-CN"/>
        </w:rPr>
        <w:t xml:space="preserve">1.  </w:t>
      </w:r>
      <w:r>
        <w:rPr>
          <w:rFonts w:hint="eastAsia" w:ascii="Times New Roman" w:hAnsi="Times New Roman" w:cs="Times New Roman"/>
          <w:spacing w:val="7"/>
          <w:sz w:val="28"/>
          <w:szCs w:val="28"/>
          <w:lang w:eastAsia="zh-CN"/>
        </w:rPr>
        <w:t>具有专业</w:t>
      </w:r>
      <w:bookmarkStart w:id="0" w:name="_GoBack"/>
      <w:bookmarkEnd w:id="0"/>
      <w:r>
        <w:rPr>
          <w:rFonts w:hint="eastAsia" w:ascii="Times New Roman" w:hAnsi="Times New Roman" w:cs="Times New Roman"/>
          <w:spacing w:val="7"/>
          <w:sz w:val="28"/>
          <w:szCs w:val="28"/>
          <w:lang w:eastAsia="zh-CN"/>
        </w:rPr>
        <w:t>型硕士研究生指导教师任职资格，</w:t>
      </w:r>
      <w:r>
        <w:rPr>
          <w:rFonts w:ascii="Times New Roman" w:hAnsi="Times New Roman" w:cs="Times New Roman"/>
          <w:spacing w:val="7"/>
          <w:sz w:val="28"/>
          <w:szCs w:val="28"/>
          <w:lang w:eastAsia="zh-CN"/>
        </w:rPr>
        <w:t xml:space="preserve"> </w:t>
      </w:r>
      <w:r>
        <w:rPr>
          <w:rFonts w:hint="eastAsia" w:ascii="Times New Roman" w:hAnsi="Times New Roman"/>
          <w:spacing w:val="7"/>
          <w:sz w:val="28"/>
          <w:szCs w:val="28"/>
          <w:lang w:eastAsia="zh-CN"/>
        </w:rPr>
        <w:t>在学校规定的退休年龄前能够完整地指导一届研究生；</w:t>
      </w:r>
    </w:p>
    <w:p>
      <w:pPr>
        <w:pStyle w:val="3"/>
        <w:spacing w:line="360" w:lineRule="auto"/>
        <w:ind w:left="0" w:firstLine="576" w:firstLineChars="196"/>
        <w:jc w:val="both"/>
        <w:rPr>
          <w:rFonts w:ascii="Times New Roman" w:hAnsi="Times New Roman" w:cs="Times New Roman"/>
          <w:spacing w:val="7"/>
          <w:sz w:val="28"/>
          <w:szCs w:val="28"/>
          <w:lang w:eastAsia="zh-CN"/>
        </w:rPr>
      </w:pPr>
      <w:r>
        <w:rPr>
          <w:rFonts w:ascii="Times New Roman" w:hAnsi="Times New Roman" w:cs="Times New Roman"/>
          <w:spacing w:val="7"/>
          <w:sz w:val="28"/>
          <w:szCs w:val="28"/>
          <w:lang w:eastAsia="zh-CN"/>
        </w:rPr>
        <w:t xml:space="preserve">2.  </w:t>
      </w:r>
      <w:r>
        <w:rPr>
          <w:rFonts w:hint="eastAsia" w:ascii="Times New Roman" w:hAnsi="Times New Roman"/>
          <w:spacing w:val="7"/>
          <w:sz w:val="28"/>
          <w:szCs w:val="28"/>
          <w:lang w:eastAsia="zh-CN"/>
        </w:rPr>
        <w:t>全职在本院工作；或非本院导师，但上岗前对本院教学或科研业绩有贡献；</w:t>
      </w:r>
    </w:p>
    <w:p>
      <w:pPr>
        <w:pStyle w:val="3"/>
        <w:spacing w:line="360" w:lineRule="auto"/>
        <w:ind w:left="0" w:firstLine="576" w:firstLineChars="196"/>
        <w:jc w:val="both"/>
        <w:rPr>
          <w:rFonts w:ascii="Times New Roman" w:hAnsi="Times New Roman" w:cs="Times New Roman"/>
          <w:spacing w:val="7"/>
          <w:sz w:val="28"/>
          <w:szCs w:val="28"/>
          <w:lang w:eastAsia="zh-CN"/>
        </w:rPr>
      </w:pPr>
      <w:r>
        <w:rPr>
          <w:rFonts w:ascii="Times New Roman" w:hAnsi="Times New Roman" w:cs="Times New Roman"/>
          <w:spacing w:val="7"/>
          <w:sz w:val="28"/>
          <w:szCs w:val="28"/>
          <w:lang w:eastAsia="zh-CN"/>
        </w:rPr>
        <w:t xml:space="preserve">3.  </w:t>
      </w:r>
      <w:r>
        <w:rPr>
          <w:rFonts w:hint="eastAsia" w:ascii="Times New Roman" w:hAnsi="Times New Roman"/>
          <w:spacing w:val="7"/>
          <w:sz w:val="28"/>
          <w:szCs w:val="28"/>
          <w:lang w:eastAsia="zh-CN"/>
        </w:rPr>
        <w:t>近</w:t>
      </w:r>
      <w:r>
        <w:rPr>
          <w:rFonts w:ascii="Times New Roman" w:hAnsi="Times New Roman" w:cs="Times New Roman"/>
          <w:spacing w:val="7"/>
          <w:sz w:val="28"/>
          <w:szCs w:val="28"/>
          <w:lang w:eastAsia="zh-CN"/>
        </w:rPr>
        <w:t>3</w:t>
      </w:r>
      <w:r>
        <w:rPr>
          <w:rFonts w:hint="eastAsia" w:ascii="Times New Roman" w:hAnsi="Times New Roman"/>
          <w:spacing w:val="7"/>
          <w:sz w:val="28"/>
          <w:szCs w:val="28"/>
          <w:lang w:eastAsia="zh-CN"/>
        </w:rPr>
        <w:t>年发表与本专业相关的高水平（北图中文核心期刊）论文</w:t>
      </w:r>
      <w:r>
        <w:rPr>
          <w:rFonts w:hint="eastAsia" w:ascii="Times New Roman" w:hAnsi="Times New Roman" w:cs="Times New Roman"/>
          <w:spacing w:val="7"/>
          <w:sz w:val="28"/>
          <w:szCs w:val="28"/>
          <w:lang w:val="en-US" w:eastAsia="zh-CN"/>
        </w:rPr>
        <w:t>1</w:t>
      </w:r>
      <w:r>
        <w:rPr>
          <w:rFonts w:hint="eastAsia" w:ascii="Times New Roman" w:hAnsi="Times New Roman"/>
          <w:spacing w:val="7"/>
          <w:sz w:val="28"/>
          <w:szCs w:val="28"/>
          <w:lang w:eastAsia="zh-CN"/>
        </w:rPr>
        <w:t>篇以上、或者参与撰写本专业专著</w:t>
      </w:r>
      <w:r>
        <w:rPr>
          <w:rFonts w:ascii="Times New Roman" w:hAnsi="Times New Roman" w:cs="Times New Roman"/>
          <w:spacing w:val="7"/>
          <w:sz w:val="28"/>
          <w:szCs w:val="28"/>
          <w:lang w:eastAsia="zh-CN"/>
        </w:rPr>
        <w:t>1</w:t>
      </w:r>
      <w:r>
        <w:rPr>
          <w:rFonts w:hint="eastAsia" w:ascii="Times New Roman" w:hAnsi="Times New Roman"/>
          <w:spacing w:val="7"/>
          <w:sz w:val="28"/>
          <w:szCs w:val="28"/>
          <w:lang w:eastAsia="zh-CN"/>
        </w:rPr>
        <w:t>部（不少于</w:t>
      </w:r>
      <w:r>
        <w:rPr>
          <w:rFonts w:ascii="Times New Roman" w:hAnsi="Times New Roman" w:cs="Times New Roman"/>
          <w:spacing w:val="7"/>
          <w:sz w:val="28"/>
          <w:szCs w:val="28"/>
          <w:lang w:eastAsia="zh-CN"/>
        </w:rPr>
        <w:t>5</w:t>
      </w:r>
      <w:r>
        <w:rPr>
          <w:rFonts w:hint="eastAsia" w:ascii="Times New Roman" w:hAnsi="Times New Roman"/>
          <w:spacing w:val="7"/>
          <w:sz w:val="28"/>
          <w:szCs w:val="28"/>
          <w:lang w:eastAsia="zh-CN"/>
        </w:rPr>
        <w:t>万字）、或指导学生参与专业相关竞赛获市级以上奖项；</w:t>
      </w:r>
    </w:p>
    <w:p>
      <w:pPr>
        <w:pStyle w:val="3"/>
        <w:spacing w:line="360" w:lineRule="auto"/>
        <w:ind w:left="0" w:firstLine="576" w:firstLineChars="196"/>
        <w:jc w:val="both"/>
        <w:rPr>
          <w:rFonts w:ascii="Times New Roman" w:hAnsi="Times New Roman" w:cs="Times New Roman"/>
          <w:spacing w:val="7"/>
          <w:sz w:val="28"/>
          <w:szCs w:val="28"/>
          <w:lang w:eastAsia="zh-CN"/>
        </w:rPr>
      </w:pPr>
      <w:r>
        <w:rPr>
          <w:rFonts w:ascii="Times New Roman" w:hAnsi="Times New Roman" w:cs="Times New Roman"/>
          <w:spacing w:val="7"/>
          <w:sz w:val="28"/>
          <w:szCs w:val="28"/>
          <w:lang w:eastAsia="zh-CN"/>
        </w:rPr>
        <w:t xml:space="preserve">4.  </w:t>
      </w:r>
      <w:r>
        <w:rPr>
          <w:rFonts w:hint="eastAsia" w:ascii="Times New Roman" w:hAnsi="Times New Roman"/>
          <w:spacing w:val="7"/>
          <w:sz w:val="28"/>
          <w:szCs w:val="28"/>
          <w:lang w:eastAsia="zh-CN"/>
        </w:rPr>
        <w:t>有在研的市厅级以上科研项目，或主持在研的横向科研项目，可独立支配的科研经费不少于</w:t>
      </w:r>
      <w:r>
        <w:rPr>
          <w:rFonts w:ascii="Times New Roman" w:hAnsi="Times New Roman" w:cs="Times New Roman"/>
          <w:spacing w:val="7"/>
          <w:sz w:val="28"/>
          <w:szCs w:val="28"/>
          <w:lang w:eastAsia="zh-CN"/>
        </w:rPr>
        <w:t>1</w:t>
      </w:r>
      <w:r>
        <w:rPr>
          <w:rFonts w:hint="eastAsia" w:ascii="Times New Roman" w:hAnsi="Times New Roman"/>
          <w:spacing w:val="7"/>
          <w:sz w:val="28"/>
          <w:szCs w:val="28"/>
          <w:lang w:eastAsia="zh-CN"/>
        </w:rPr>
        <w:t>万元：若无在研的科研项目，须近</w:t>
      </w:r>
      <w:r>
        <w:rPr>
          <w:rFonts w:ascii="Times New Roman" w:hAnsi="Times New Roman" w:cs="Times New Roman"/>
          <w:spacing w:val="7"/>
          <w:sz w:val="28"/>
          <w:szCs w:val="28"/>
          <w:lang w:eastAsia="zh-CN"/>
        </w:rPr>
        <w:t>3</w:t>
      </w:r>
      <w:r>
        <w:rPr>
          <w:rFonts w:hint="eastAsia" w:ascii="Times New Roman" w:hAnsi="Times New Roman"/>
          <w:spacing w:val="7"/>
          <w:sz w:val="28"/>
          <w:szCs w:val="28"/>
          <w:lang w:eastAsia="zh-CN"/>
        </w:rPr>
        <w:t>年曾主持过市厅级以上科研项目，可独立支配的科研经费不少于</w:t>
      </w:r>
      <w:r>
        <w:rPr>
          <w:rFonts w:ascii="Times New Roman" w:hAnsi="Times New Roman" w:cs="Times New Roman"/>
          <w:spacing w:val="7"/>
          <w:sz w:val="28"/>
          <w:szCs w:val="28"/>
          <w:lang w:eastAsia="zh-CN"/>
        </w:rPr>
        <w:t>2</w:t>
      </w:r>
      <w:r>
        <w:rPr>
          <w:rFonts w:hint="eastAsia" w:ascii="Times New Roman" w:hAnsi="Times New Roman"/>
          <w:spacing w:val="7"/>
          <w:sz w:val="28"/>
          <w:szCs w:val="28"/>
          <w:lang w:eastAsia="zh-CN"/>
        </w:rPr>
        <w:t>万元；</w:t>
      </w:r>
    </w:p>
    <w:p>
      <w:pPr>
        <w:pStyle w:val="3"/>
        <w:spacing w:line="360" w:lineRule="auto"/>
        <w:ind w:left="0" w:firstLine="576" w:firstLineChars="196"/>
        <w:jc w:val="both"/>
        <w:rPr>
          <w:rFonts w:ascii="Times New Roman" w:hAnsi="Times New Roman" w:cs="Times New Roman"/>
          <w:spacing w:val="7"/>
          <w:sz w:val="28"/>
          <w:szCs w:val="28"/>
          <w:lang w:eastAsia="zh-CN"/>
        </w:rPr>
      </w:pPr>
      <w:r>
        <w:rPr>
          <w:rFonts w:ascii="Times New Roman" w:hAnsi="Times New Roman" w:cs="Times New Roman"/>
          <w:spacing w:val="7"/>
          <w:sz w:val="28"/>
          <w:szCs w:val="28"/>
          <w:lang w:eastAsia="zh-CN"/>
        </w:rPr>
        <w:t>5</w:t>
      </w:r>
      <w:r>
        <w:rPr>
          <w:rFonts w:hint="eastAsia" w:ascii="Times New Roman" w:hAnsi="Times New Roman"/>
          <w:spacing w:val="7"/>
          <w:sz w:val="28"/>
          <w:szCs w:val="28"/>
          <w:lang w:eastAsia="zh-CN"/>
        </w:rPr>
        <w:t>．</w:t>
      </w:r>
      <w:r>
        <w:rPr>
          <w:rFonts w:ascii="Times New Roman" w:hAnsi="Times New Roman" w:cs="Times New Roman"/>
          <w:spacing w:val="7"/>
          <w:sz w:val="28"/>
          <w:szCs w:val="28"/>
          <w:lang w:eastAsia="zh-CN"/>
        </w:rPr>
        <w:t xml:space="preserve"> </w:t>
      </w:r>
      <w:r>
        <w:rPr>
          <w:rFonts w:hint="eastAsia" w:ascii="Times New Roman" w:hAnsi="Times New Roman"/>
          <w:spacing w:val="7"/>
          <w:sz w:val="28"/>
          <w:szCs w:val="28"/>
          <w:lang w:eastAsia="zh-CN"/>
        </w:rPr>
        <w:t>特殊情况者，由学院学位评定委员会讨论。</w:t>
      </w:r>
    </w:p>
    <w:p>
      <w:pPr>
        <w:pStyle w:val="3"/>
        <w:spacing w:beforeLines="50" w:line="360" w:lineRule="auto"/>
        <w:ind w:left="0" w:firstLine="0"/>
        <w:jc w:val="both"/>
        <w:rPr>
          <w:rFonts w:cs="Times New Roman"/>
          <w:b/>
          <w:bCs/>
          <w:spacing w:val="7"/>
          <w:sz w:val="30"/>
          <w:szCs w:val="30"/>
          <w:lang w:eastAsia="zh-CN"/>
        </w:rPr>
      </w:pPr>
      <w:r>
        <w:rPr>
          <w:rFonts w:hint="eastAsia"/>
          <w:b/>
          <w:bCs/>
          <w:spacing w:val="7"/>
          <w:sz w:val="30"/>
          <w:szCs w:val="30"/>
          <w:lang w:eastAsia="zh-CN"/>
        </w:rPr>
        <w:t>三、专业学位硕士研究生指导教师上岗招生例外原则</w:t>
      </w:r>
    </w:p>
    <w:p>
      <w:pPr>
        <w:pStyle w:val="3"/>
        <w:spacing w:line="360" w:lineRule="auto"/>
        <w:ind w:left="0" w:firstLine="588" w:firstLineChars="200"/>
        <w:jc w:val="both"/>
        <w:rPr>
          <w:rFonts w:ascii="Times New Roman" w:hAnsi="Times New Roman" w:cs="Times New Roman"/>
          <w:spacing w:val="7"/>
          <w:sz w:val="28"/>
          <w:szCs w:val="28"/>
          <w:lang w:eastAsia="zh-CN"/>
        </w:rPr>
      </w:pPr>
      <w:r>
        <w:rPr>
          <w:rFonts w:hint="eastAsia" w:ascii="Times New Roman" w:hAnsi="Times New Roman"/>
          <w:spacing w:val="7"/>
          <w:sz w:val="28"/>
          <w:szCs w:val="28"/>
          <w:lang w:eastAsia="zh-CN"/>
        </w:rPr>
        <w:t>学术界、教育界公认的知名专家、学者等可申请上岗招收硕士研究生。</w:t>
      </w:r>
    </w:p>
    <w:p>
      <w:pPr>
        <w:pStyle w:val="3"/>
        <w:spacing w:beforeLines="50" w:line="360" w:lineRule="auto"/>
        <w:ind w:left="0" w:firstLine="0"/>
        <w:jc w:val="both"/>
        <w:rPr>
          <w:rFonts w:cs="Times New Roman"/>
          <w:b/>
          <w:bCs/>
          <w:spacing w:val="7"/>
          <w:sz w:val="30"/>
          <w:szCs w:val="30"/>
          <w:lang w:eastAsia="zh-CN"/>
        </w:rPr>
      </w:pPr>
      <w:r>
        <w:rPr>
          <w:rFonts w:hint="eastAsia"/>
          <w:b/>
          <w:bCs/>
          <w:spacing w:val="7"/>
          <w:sz w:val="30"/>
          <w:szCs w:val="30"/>
          <w:lang w:eastAsia="zh-CN"/>
        </w:rPr>
        <w:t>四、出现以下情况之一的，取消当年招生资格</w:t>
      </w:r>
      <w:r>
        <w:rPr>
          <w:b/>
          <w:bCs/>
          <w:spacing w:val="7"/>
          <w:sz w:val="30"/>
          <w:szCs w:val="30"/>
          <w:lang w:eastAsia="zh-CN"/>
        </w:rPr>
        <w:t xml:space="preserve"> </w:t>
      </w:r>
    </w:p>
    <w:p>
      <w:pPr>
        <w:pStyle w:val="3"/>
        <w:adjustRightInd w:val="0"/>
        <w:spacing w:line="360" w:lineRule="auto"/>
        <w:ind w:left="0" w:firstLine="560" w:firstLineChars="200"/>
        <w:jc w:val="both"/>
        <w:rPr>
          <w:rFonts w:ascii="Times New Roman" w:hAnsi="Times New Roman" w:cs="Times New Roman"/>
          <w:sz w:val="28"/>
          <w:szCs w:val="28"/>
          <w:lang w:eastAsia="zh-CN"/>
        </w:rPr>
      </w:pPr>
      <w:r>
        <w:rPr>
          <w:rFonts w:ascii="Times New Roman" w:hAnsi="Times New Roman" w:cs="Times New Roman"/>
          <w:sz w:val="28"/>
          <w:szCs w:val="28"/>
          <w:lang w:eastAsia="zh-CN"/>
        </w:rPr>
        <w:t>1</w:t>
      </w:r>
      <w:r>
        <w:rPr>
          <w:rFonts w:hint="eastAsia" w:ascii="Times New Roman" w:hAnsi="Times New Roman"/>
          <w:sz w:val="28"/>
          <w:szCs w:val="28"/>
          <w:lang w:eastAsia="zh-CN"/>
        </w:rPr>
        <w:t>．所指导的研究生在江苏省及以上学位论文抽检中不合格。</w:t>
      </w:r>
    </w:p>
    <w:p>
      <w:pPr>
        <w:pStyle w:val="3"/>
        <w:adjustRightInd w:val="0"/>
        <w:spacing w:line="360" w:lineRule="auto"/>
        <w:ind w:left="0" w:firstLine="560" w:firstLineChars="200"/>
        <w:jc w:val="both"/>
        <w:rPr>
          <w:rFonts w:ascii="Times New Roman" w:hAnsi="Times New Roman" w:cs="Times New Roman"/>
          <w:sz w:val="28"/>
          <w:szCs w:val="28"/>
          <w:lang w:eastAsia="zh-CN"/>
        </w:rPr>
      </w:pPr>
      <w:r>
        <w:rPr>
          <w:rFonts w:ascii="Times New Roman" w:hAnsi="Times New Roman" w:cs="Times New Roman"/>
          <w:sz w:val="28"/>
          <w:szCs w:val="28"/>
          <w:lang w:eastAsia="zh-CN"/>
        </w:rPr>
        <w:t xml:space="preserve">2.  </w:t>
      </w:r>
      <w:r>
        <w:rPr>
          <w:rFonts w:hint="eastAsia" w:ascii="Times New Roman" w:hAnsi="Times New Roman"/>
          <w:sz w:val="28"/>
          <w:szCs w:val="28"/>
          <w:lang w:eastAsia="zh-CN"/>
        </w:rPr>
        <w:t>所指导的同一研究生在校级抽检和双盲评阅中出现两篇次以上不合格学位论文。</w:t>
      </w:r>
    </w:p>
    <w:p>
      <w:pPr>
        <w:pStyle w:val="3"/>
        <w:adjustRightInd w:val="0"/>
        <w:spacing w:line="360" w:lineRule="auto"/>
        <w:ind w:left="0" w:firstLine="560" w:firstLineChars="200"/>
        <w:jc w:val="both"/>
        <w:rPr>
          <w:rFonts w:ascii="Times New Roman" w:hAnsi="Times New Roman" w:cs="Times New Roman"/>
          <w:sz w:val="28"/>
          <w:szCs w:val="28"/>
          <w:lang w:eastAsia="zh-CN"/>
        </w:rPr>
      </w:pPr>
      <w:r>
        <w:rPr>
          <w:rFonts w:ascii="Times New Roman" w:hAnsi="Times New Roman" w:cs="Times New Roman"/>
          <w:sz w:val="28"/>
          <w:szCs w:val="28"/>
          <w:lang w:eastAsia="zh-CN"/>
        </w:rPr>
        <w:t>3</w:t>
      </w:r>
      <w:r>
        <w:rPr>
          <w:rFonts w:hint="eastAsia" w:ascii="Times New Roman" w:hAnsi="Times New Roman"/>
          <w:sz w:val="28"/>
          <w:szCs w:val="28"/>
          <w:lang w:eastAsia="zh-CN"/>
        </w:rPr>
        <w:t>．所指导的研究生连续两年或累计三次出现不合格学位论文。</w:t>
      </w:r>
    </w:p>
    <w:p>
      <w:pPr>
        <w:pStyle w:val="3"/>
        <w:adjustRightInd w:val="0"/>
        <w:spacing w:line="360" w:lineRule="auto"/>
        <w:ind w:left="0" w:firstLine="560" w:firstLineChars="200"/>
        <w:jc w:val="both"/>
        <w:rPr>
          <w:rFonts w:ascii="Times New Roman" w:hAnsi="Times New Roman" w:cs="Times New Roman"/>
          <w:sz w:val="28"/>
          <w:szCs w:val="28"/>
          <w:lang w:eastAsia="zh-CN"/>
        </w:rPr>
      </w:pPr>
      <w:r>
        <w:rPr>
          <w:rFonts w:ascii="Times New Roman" w:hAnsi="Times New Roman" w:cs="Times New Roman"/>
          <w:sz w:val="28"/>
          <w:szCs w:val="28"/>
          <w:lang w:eastAsia="zh-CN"/>
        </w:rPr>
        <w:t xml:space="preserve">4.  </w:t>
      </w:r>
      <w:r>
        <w:rPr>
          <w:rFonts w:hint="eastAsia" w:ascii="Times New Roman" w:hAnsi="Times New Roman"/>
          <w:sz w:val="28"/>
          <w:szCs w:val="28"/>
          <w:lang w:eastAsia="zh-CN"/>
        </w:rPr>
        <w:t>擅自离岗或长期出国（一年以上）无故不归。</w:t>
      </w:r>
    </w:p>
    <w:p>
      <w:pPr>
        <w:pStyle w:val="3"/>
        <w:adjustRightInd w:val="0"/>
        <w:spacing w:line="360" w:lineRule="auto"/>
        <w:ind w:left="0" w:firstLine="560" w:firstLineChars="200"/>
        <w:jc w:val="both"/>
        <w:rPr>
          <w:rFonts w:ascii="Times New Roman" w:hAnsi="Times New Roman" w:cs="Times New Roman"/>
          <w:sz w:val="28"/>
          <w:szCs w:val="28"/>
          <w:lang w:eastAsia="zh-CN"/>
        </w:rPr>
      </w:pPr>
      <w:r>
        <w:rPr>
          <w:rFonts w:ascii="Times New Roman" w:hAnsi="Times New Roman" w:cs="Times New Roman"/>
          <w:sz w:val="28"/>
          <w:szCs w:val="28"/>
          <w:lang w:eastAsia="zh-CN"/>
        </w:rPr>
        <w:t xml:space="preserve">5.  </w:t>
      </w:r>
      <w:r>
        <w:rPr>
          <w:rFonts w:hint="eastAsia" w:ascii="Times New Roman" w:hAnsi="Times New Roman"/>
          <w:sz w:val="28"/>
          <w:szCs w:val="28"/>
          <w:lang w:eastAsia="zh-CN"/>
        </w:rPr>
        <w:t>因健康原因，无法履行到时职责。</w:t>
      </w:r>
    </w:p>
    <w:p>
      <w:pPr>
        <w:pStyle w:val="3"/>
        <w:adjustRightInd w:val="0"/>
        <w:spacing w:line="360" w:lineRule="auto"/>
        <w:ind w:left="0" w:firstLine="0"/>
        <w:jc w:val="both"/>
        <w:rPr>
          <w:rFonts w:ascii="Times New Roman" w:hAnsi="Times New Roman" w:cs="Times New Roman"/>
          <w:sz w:val="28"/>
          <w:szCs w:val="28"/>
          <w:lang w:eastAsia="zh-CN"/>
        </w:rPr>
      </w:pPr>
      <w:r>
        <w:rPr>
          <w:rFonts w:ascii="Times New Roman" w:hAnsi="Times New Roman" w:cs="Times New Roman"/>
          <w:sz w:val="28"/>
          <w:szCs w:val="28"/>
          <w:lang w:eastAsia="zh-CN"/>
        </w:rPr>
        <w:t xml:space="preserve">        6.  </w:t>
      </w:r>
      <w:r>
        <w:rPr>
          <w:rFonts w:hint="eastAsia" w:ascii="Times New Roman" w:hAnsi="Times New Roman"/>
          <w:sz w:val="28"/>
          <w:szCs w:val="28"/>
          <w:lang w:eastAsia="zh-CN"/>
        </w:rPr>
        <w:t>经学院学位评定委员会认定，其他不适合上岗招生的情况。</w:t>
      </w:r>
    </w:p>
    <w:p>
      <w:pPr>
        <w:pStyle w:val="3"/>
        <w:spacing w:beforeLines="50" w:line="360" w:lineRule="auto"/>
        <w:ind w:left="0" w:firstLine="0"/>
        <w:jc w:val="both"/>
        <w:rPr>
          <w:rFonts w:cs="Times New Roman"/>
          <w:b/>
          <w:bCs/>
          <w:spacing w:val="4"/>
          <w:sz w:val="30"/>
          <w:szCs w:val="30"/>
          <w:lang w:eastAsia="zh-CN"/>
        </w:rPr>
      </w:pPr>
      <w:r>
        <w:rPr>
          <w:rFonts w:hint="eastAsia"/>
          <w:b/>
          <w:bCs/>
          <w:spacing w:val="4"/>
          <w:sz w:val="30"/>
          <w:szCs w:val="30"/>
          <w:lang w:eastAsia="zh-CN"/>
        </w:rPr>
        <w:t>五、专业学位硕士研究生导师招生资格审核程序</w:t>
      </w:r>
    </w:p>
    <w:p>
      <w:pPr>
        <w:pStyle w:val="3"/>
        <w:spacing w:line="360" w:lineRule="auto"/>
        <w:ind w:left="0" w:firstLine="576" w:firstLineChars="200"/>
        <w:jc w:val="both"/>
        <w:rPr>
          <w:rFonts w:ascii="Times New Roman" w:hAnsi="Times New Roman" w:cs="Times New Roman"/>
          <w:spacing w:val="4"/>
          <w:sz w:val="28"/>
          <w:szCs w:val="28"/>
          <w:lang w:eastAsia="zh-CN"/>
        </w:rPr>
      </w:pPr>
      <w:r>
        <w:rPr>
          <w:rFonts w:ascii="Times New Roman" w:hAnsi="Times New Roman" w:cs="Times New Roman"/>
          <w:spacing w:val="4"/>
          <w:sz w:val="28"/>
          <w:szCs w:val="28"/>
          <w:lang w:eastAsia="zh-CN"/>
        </w:rPr>
        <w:t xml:space="preserve">1. </w:t>
      </w:r>
      <w:r>
        <w:rPr>
          <w:rFonts w:hint="eastAsia" w:ascii="Times New Roman" w:hAnsi="Times New Roman"/>
          <w:spacing w:val="4"/>
          <w:sz w:val="28"/>
          <w:szCs w:val="28"/>
          <w:lang w:eastAsia="zh-CN"/>
        </w:rPr>
        <w:t>个人申请。申请人须在学校规定的时间范围内，向所在研究生培养单位提交申请，同时提交科研成果、科研项目、获奖及经费等证明材料。</w:t>
      </w:r>
    </w:p>
    <w:p>
      <w:pPr>
        <w:pStyle w:val="3"/>
        <w:spacing w:line="360" w:lineRule="auto"/>
        <w:ind w:left="0" w:firstLine="576" w:firstLineChars="200"/>
        <w:jc w:val="both"/>
        <w:rPr>
          <w:rFonts w:ascii="Times New Roman" w:hAnsi="Times New Roman" w:cs="Times New Roman"/>
          <w:spacing w:val="4"/>
          <w:sz w:val="28"/>
          <w:szCs w:val="28"/>
          <w:lang w:eastAsia="zh-CN"/>
        </w:rPr>
      </w:pPr>
      <w:r>
        <w:rPr>
          <w:rFonts w:ascii="Times New Roman" w:hAnsi="Times New Roman" w:cs="Times New Roman"/>
          <w:spacing w:val="4"/>
          <w:sz w:val="28"/>
          <w:szCs w:val="28"/>
          <w:lang w:eastAsia="zh-CN"/>
        </w:rPr>
        <w:t xml:space="preserve">2. </w:t>
      </w:r>
      <w:r>
        <w:rPr>
          <w:rFonts w:hint="eastAsia" w:ascii="Times New Roman" w:hAnsi="Times New Roman"/>
          <w:spacing w:val="4"/>
          <w:sz w:val="28"/>
          <w:szCs w:val="28"/>
          <w:lang w:eastAsia="zh-CN"/>
        </w:rPr>
        <w:t>院学位评定分委员会审核。院学位评定分委员会根据申请人的研究水平、科研经费、承担能力、以往培养研究生质量、年度考核情况及学科特点，对申请招生的导师名单进行审核确定。</w:t>
      </w:r>
    </w:p>
    <w:p>
      <w:pPr>
        <w:pStyle w:val="3"/>
        <w:spacing w:line="360" w:lineRule="auto"/>
        <w:ind w:left="0" w:firstLine="576" w:firstLineChars="200"/>
        <w:jc w:val="both"/>
        <w:rPr>
          <w:rFonts w:ascii="Times New Roman" w:hAnsi="Times New Roman" w:cs="Times New Roman"/>
          <w:spacing w:val="4"/>
          <w:sz w:val="28"/>
          <w:szCs w:val="28"/>
          <w:lang w:eastAsia="zh-CN"/>
        </w:rPr>
      </w:pPr>
      <w:r>
        <w:rPr>
          <w:rFonts w:ascii="Times New Roman" w:hAnsi="Times New Roman" w:cs="Times New Roman"/>
          <w:spacing w:val="4"/>
          <w:sz w:val="28"/>
          <w:szCs w:val="28"/>
          <w:lang w:eastAsia="zh-CN"/>
        </w:rPr>
        <w:t xml:space="preserve">3. </w:t>
      </w:r>
      <w:r>
        <w:rPr>
          <w:rFonts w:hint="eastAsia" w:ascii="Times New Roman" w:hAnsi="Times New Roman"/>
          <w:spacing w:val="4"/>
          <w:sz w:val="28"/>
          <w:szCs w:val="28"/>
          <w:lang w:eastAsia="zh-CN"/>
        </w:rPr>
        <w:t>研究生院备案。院学位评定分委员会将审核确定的上岗招生导师名单报送研究生院备案。通过备案的研究生导师方可进行招生。</w:t>
      </w:r>
    </w:p>
    <w:p>
      <w:pPr>
        <w:pStyle w:val="3"/>
        <w:spacing w:line="360" w:lineRule="auto"/>
        <w:ind w:left="0" w:firstLine="576" w:firstLineChars="200"/>
        <w:jc w:val="both"/>
        <w:rPr>
          <w:rFonts w:ascii="Times New Roman" w:hAnsi="Times New Roman" w:cs="Times New Roman"/>
          <w:spacing w:val="4"/>
          <w:sz w:val="28"/>
          <w:szCs w:val="28"/>
          <w:lang w:eastAsia="zh-CN"/>
        </w:rPr>
      </w:pPr>
    </w:p>
    <w:p>
      <w:pPr>
        <w:pStyle w:val="3"/>
        <w:spacing w:line="360" w:lineRule="auto"/>
        <w:ind w:left="0" w:firstLine="0"/>
        <w:jc w:val="both"/>
        <w:rPr>
          <w:rFonts w:cs="Times New Roman"/>
          <w:b/>
          <w:bCs/>
          <w:spacing w:val="4"/>
          <w:sz w:val="30"/>
          <w:szCs w:val="30"/>
          <w:lang w:eastAsia="zh-CN"/>
        </w:rPr>
      </w:pPr>
      <w:r>
        <w:rPr>
          <w:rFonts w:hint="eastAsia"/>
          <w:b/>
          <w:bCs/>
          <w:spacing w:val="4"/>
          <w:sz w:val="30"/>
          <w:szCs w:val="30"/>
          <w:lang w:eastAsia="zh-CN"/>
        </w:rPr>
        <w:t>六、其他</w:t>
      </w:r>
      <w:r>
        <w:rPr>
          <w:b/>
          <w:bCs/>
          <w:spacing w:val="4"/>
          <w:sz w:val="30"/>
          <w:szCs w:val="30"/>
          <w:lang w:eastAsia="zh-CN"/>
        </w:rPr>
        <w:t xml:space="preserve"> </w:t>
      </w:r>
    </w:p>
    <w:p>
      <w:pPr>
        <w:spacing w:line="360" w:lineRule="auto"/>
        <w:ind w:firstLine="560" w:firstLineChars="200"/>
        <w:jc w:val="both"/>
        <w:rPr>
          <w:rFonts w:ascii="Times New Roman" w:hAnsi="Times New Roman" w:cs="Times New Roman"/>
          <w:sz w:val="28"/>
          <w:szCs w:val="28"/>
          <w:highlight w:val="yellow"/>
          <w:lang w:eastAsia="zh-CN"/>
        </w:rPr>
      </w:pPr>
      <w:r>
        <w:rPr>
          <w:rFonts w:ascii="Times New Roman" w:hAnsi="Times New Roman" w:cs="Times New Roman"/>
          <w:sz w:val="28"/>
          <w:szCs w:val="28"/>
          <w:lang w:eastAsia="zh-CN"/>
        </w:rPr>
        <w:t>1</w:t>
      </w:r>
      <w:r>
        <w:rPr>
          <w:rFonts w:hint="eastAsia" w:ascii="Times New Roman" w:hAnsi="Times New Roman" w:cs="宋体"/>
          <w:sz w:val="28"/>
          <w:szCs w:val="28"/>
          <w:lang w:eastAsia="zh-CN"/>
        </w:rPr>
        <w:t>．具有招生资格的专业学位硕士研究生指导教师招生人数根据当年理学院研究生招生指标确定。</w:t>
      </w:r>
    </w:p>
    <w:p>
      <w:pPr>
        <w:spacing w:line="360" w:lineRule="auto"/>
        <w:ind w:firstLine="560" w:firstLineChars="200"/>
        <w:jc w:val="both"/>
        <w:rPr>
          <w:rFonts w:ascii="宋体" w:cs="Times New Roman"/>
          <w:sz w:val="28"/>
          <w:szCs w:val="28"/>
          <w:lang w:eastAsia="zh-CN"/>
        </w:rPr>
      </w:pPr>
      <w:r>
        <w:rPr>
          <w:rFonts w:ascii="Times New Roman" w:hAnsi="Times New Roman" w:cs="Times New Roman"/>
          <w:sz w:val="28"/>
          <w:szCs w:val="28"/>
          <w:lang w:eastAsia="zh-CN"/>
        </w:rPr>
        <w:t>2</w:t>
      </w:r>
      <w:r>
        <w:rPr>
          <w:rFonts w:hint="eastAsia" w:ascii="Times New Roman" w:hAnsi="Times New Roman" w:cs="宋体"/>
          <w:sz w:val="28"/>
          <w:szCs w:val="28"/>
          <w:lang w:eastAsia="zh-CN"/>
        </w:rPr>
        <w:t>．本细则自公布之日起实施，由理学院学位评定分委员会负责解释。</w:t>
      </w:r>
    </w:p>
    <w:p>
      <w:pPr>
        <w:pStyle w:val="3"/>
        <w:adjustRightInd w:val="0"/>
        <w:spacing w:afterLines="50" w:line="312" w:lineRule="auto"/>
        <w:ind w:left="0" w:firstLine="560" w:firstLineChars="200"/>
        <w:jc w:val="both"/>
        <w:rPr>
          <w:rFonts w:cs="Times New Roman"/>
          <w:sz w:val="28"/>
          <w:szCs w:val="28"/>
          <w:lang w:eastAsia="zh-CN"/>
        </w:rPr>
      </w:pPr>
    </w:p>
    <w:p>
      <w:pPr>
        <w:pStyle w:val="3"/>
        <w:adjustRightInd w:val="0"/>
        <w:spacing w:afterLines="50" w:line="312" w:lineRule="auto"/>
        <w:ind w:left="0" w:firstLine="560" w:firstLineChars="200"/>
        <w:jc w:val="both"/>
        <w:rPr>
          <w:rFonts w:cs="Times New Roman"/>
          <w:sz w:val="28"/>
          <w:szCs w:val="28"/>
          <w:lang w:eastAsia="zh-CN"/>
        </w:rPr>
      </w:pPr>
    </w:p>
    <w:p>
      <w:pPr>
        <w:pStyle w:val="3"/>
        <w:adjustRightInd w:val="0"/>
        <w:spacing w:afterLines="50" w:line="312" w:lineRule="auto"/>
        <w:ind w:left="0" w:firstLine="560" w:firstLineChars="200"/>
        <w:jc w:val="both"/>
        <w:rPr>
          <w:rFonts w:cs="Times New Roman"/>
          <w:sz w:val="28"/>
          <w:szCs w:val="28"/>
          <w:lang w:eastAsia="zh-CN"/>
        </w:rPr>
      </w:pPr>
    </w:p>
    <w:p>
      <w:pPr>
        <w:pStyle w:val="3"/>
        <w:adjustRightInd w:val="0"/>
        <w:spacing w:afterLines="50" w:line="312" w:lineRule="auto"/>
        <w:ind w:left="0" w:firstLine="560" w:firstLineChars="200"/>
        <w:jc w:val="both"/>
        <w:rPr>
          <w:rFonts w:cs="Times New Roman"/>
          <w:sz w:val="28"/>
          <w:szCs w:val="28"/>
          <w:lang w:eastAsia="zh-CN"/>
        </w:rPr>
      </w:pPr>
    </w:p>
    <w:p>
      <w:pPr>
        <w:pStyle w:val="3"/>
        <w:adjustRightInd w:val="0"/>
        <w:spacing w:afterLines="50" w:line="312" w:lineRule="auto"/>
        <w:ind w:left="0" w:firstLine="560" w:firstLineChars="200"/>
        <w:jc w:val="both"/>
        <w:rPr>
          <w:rFonts w:cs="Times New Roman"/>
          <w:sz w:val="28"/>
          <w:szCs w:val="28"/>
          <w:lang w:eastAsia="zh-CN"/>
        </w:rPr>
      </w:pPr>
    </w:p>
    <w:p>
      <w:pPr>
        <w:pStyle w:val="3"/>
        <w:adjustRightInd w:val="0"/>
        <w:spacing w:afterLines="50" w:line="312" w:lineRule="auto"/>
        <w:ind w:left="0" w:firstLine="6720" w:firstLineChars="2400"/>
        <w:jc w:val="right"/>
        <w:rPr>
          <w:rFonts w:cs="Times New Roman"/>
          <w:sz w:val="28"/>
          <w:szCs w:val="28"/>
          <w:lang w:eastAsia="zh-CN"/>
        </w:rPr>
      </w:pPr>
      <w:r>
        <w:rPr>
          <w:rFonts w:hint="eastAsia"/>
          <w:sz w:val="28"/>
          <w:szCs w:val="28"/>
          <w:lang w:eastAsia="zh-CN"/>
        </w:rPr>
        <w:t>南通大学理学院</w:t>
      </w:r>
    </w:p>
    <w:p>
      <w:pPr>
        <w:pStyle w:val="3"/>
        <w:adjustRightInd w:val="0"/>
        <w:spacing w:afterLines="50" w:line="312" w:lineRule="auto"/>
        <w:ind w:left="0" w:firstLine="0"/>
        <w:jc w:val="right"/>
        <w:rPr>
          <w:rFonts w:cs="Times New Roman"/>
          <w:sz w:val="28"/>
          <w:szCs w:val="28"/>
          <w:lang w:eastAsia="zh-CN"/>
        </w:rPr>
      </w:pPr>
      <w:r>
        <w:rPr>
          <w:rFonts w:hint="eastAsia"/>
          <w:sz w:val="28"/>
          <w:szCs w:val="28"/>
          <w:lang w:eastAsia="zh-CN"/>
        </w:rPr>
        <w:t>二〇一九年二月二十八日</w:t>
      </w:r>
    </w:p>
    <w:sectPr>
      <w:footerReference r:id="rId3" w:type="default"/>
      <w:pgSz w:w="11910" w:h="16840"/>
      <w:pgMar w:top="1134" w:right="1418" w:bottom="1134" w:left="1418" w:header="0" w:footer="132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cs="Times New Roman"/>
        <w:sz w:val="20"/>
        <w:szCs w:val="20"/>
      </w:rPr>
    </w:pPr>
    <w:r>
      <w:rPr>
        <w:lang w:eastAsia="zh-CN"/>
      </w:rPr>
      <mc:AlternateContent>
        <mc:Choice Requires="wps">
          <w:drawing>
            <wp:anchor distT="0" distB="0" distL="114300" distR="114300" simplePos="0" relativeHeight="251660288" behindDoc="1" locked="0" layoutInCell="1" allowOverlap="1">
              <wp:simplePos x="0" y="0"/>
              <wp:positionH relativeFrom="page">
                <wp:posOffset>3544570</wp:posOffset>
              </wp:positionH>
              <wp:positionV relativeFrom="page">
                <wp:posOffset>9712325</wp:posOffset>
              </wp:positionV>
              <wp:extent cx="471170" cy="203835"/>
              <wp:effectExtent l="0" t="0" r="0" b="0"/>
              <wp:wrapNone/>
              <wp:docPr id="1" name="Text Box 1"/>
              <wp:cNvGraphicFramePr/>
              <a:graphic xmlns:a="http://schemas.openxmlformats.org/drawingml/2006/main">
                <a:graphicData uri="http://schemas.microsoft.com/office/word/2010/wordprocessingShape">
                  <wps:wsp>
                    <wps:cNvSpPr txBox="1"/>
                    <wps:spPr>
                      <a:xfrm>
                        <a:off x="0" y="0"/>
                        <a:ext cx="471170" cy="203835"/>
                      </a:xfrm>
                      <a:prstGeom prst="rect">
                        <a:avLst/>
                      </a:prstGeom>
                      <a:noFill/>
                      <a:ln w="9525">
                        <a:noFill/>
                      </a:ln>
                    </wps:spPr>
                    <wps:txbx>
                      <w:txbxContent>
                        <w:p>
                          <w:pPr>
                            <w:spacing w:line="301" w:lineRule="exact"/>
                            <w:ind w:left="20"/>
                            <w:rPr>
                              <w:rFonts w:ascii="宋体" w:cs="Times New Roman"/>
                              <w:sz w:val="28"/>
                              <w:szCs w:val="28"/>
                            </w:rPr>
                          </w:pPr>
                          <w:r>
                            <w:rPr>
                              <w:rFonts w:ascii="宋体" w:cs="宋体"/>
                              <w:sz w:val="28"/>
                              <w:szCs w:val="28"/>
                            </w:rPr>
                            <w:t xml:space="preserve">- </w:t>
                          </w:r>
                          <w:r>
                            <w:fldChar w:fldCharType="begin"/>
                          </w:r>
                          <w:r>
                            <w:instrText xml:space="preserve"> PAGE </w:instrText>
                          </w:r>
                          <w:r>
                            <w:fldChar w:fldCharType="separate"/>
                          </w:r>
                          <w:r>
                            <w:t>1</w:t>
                          </w:r>
                          <w:r>
                            <w:fldChar w:fldCharType="end"/>
                          </w:r>
                          <w:r>
                            <w:rPr>
                              <w:rFonts w:ascii="宋体" w:cs="宋体"/>
                              <w:sz w:val="28"/>
                              <w:szCs w:val="28"/>
                            </w:rPr>
                            <w:t xml:space="preserve"> -</w:t>
                          </w:r>
                        </w:p>
                      </w:txbxContent>
                    </wps:txbx>
                    <wps:bodyPr lIns="0" tIns="0" rIns="0" bIns="0" upright="1"/>
                  </wps:wsp>
                </a:graphicData>
              </a:graphic>
            </wp:anchor>
          </w:drawing>
        </mc:Choice>
        <mc:Fallback>
          <w:pict>
            <v:shape id="Text Box 1" o:spid="_x0000_s1026" o:spt="202" type="#_x0000_t202" style="position:absolute;left:0pt;margin-left:279.1pt;margin-top:764.75pt;height:16.05pt;width:37.1pt;mso-position-horizontal-relative:page;mso-position-vertical-relative:page;z-index:-251656192;mso-width-relative:page;mso-height-relative:page;" filled="f" stroked="f" coordsize="21600,21600" o:gfxdata="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Bt5M6i2wAAAA0BAAAPAAAAAAAAAAEAIAAA&#10;ACIAAABkcnMvZG93bnJldi54bWxQSwECFAAUAAAACACHTuJABae3CZcBAAArAwAADgAAAAAAAAAB&#10;ACAAAAAqAQAAZHJzL2Uyb0RvYy54bWxQSwUGAAAAAAYABgBZAQAAMwUAAAAA&#10;">
              <v:fill on="f" focussize="0,0"/>
              <v:stroke on="f"/>
              <v:imagedata o:title=""/>
              <o:lock v:ext="edit" aspectratio="f"/>
              <v:textbox inset="0mm,0mm,0mm,0mm">
                <w:txbxContent>
                  <w:p>
                    <w:pPr>
                      <w:spacing w:line="301" w:lineRule="exact"/>
                      <w:ind w:left="20"/>
                      <w:rPr>
                        <w:rFonts w:ascii="宋体" w:cs="Times New Roman"/>
                        <w:sz w:val="28"/>
                        <w:szCs w:val="28"/>
                      </w:rPr>
                    </w:pPr>
                    <w:r>
                      <w:rPr>
                        <w:rFonts w:ascii="宋体" w:cs="宋体"/>
                        <w:sz w:val="28"/>
                        <w:szCs w:val="28"/>
                      </w:rPr>
                      <w:t xml:space="preserve">- </w:t>
                    </w:r>
                    <w:r>
                      <w:fldChar w:fldCharType="begin"/>
                    </w:r>
                    <w:r>
                      <w:instrText xml:space="preserve"> PAGE </w:instrText>
                    </w:r>
                    <w:r>
                      <w:fldChar w:fldCharType="separate"/>
                    </w:r>
                    <w:r>
                      <w:t>1</w:t>
                    </w:r>
                    <w:r>
                      <w:fldChar w:fldCharType="end"/>
                    </w:r>
                    <w:r>
                      <w:rPr>
                        <w:rFonts w:ascii="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720"/>
  <w:doNotHyphenateCaps/>
  <w:drawingGridHorizontalSpacing w:val="110"/>
  <w:noPunctuationKerning w:val="1"/>
  <w:characterSpacingControl w:val="doNotCompress"/>
  <w:noLineBreaksAfter w:lang="zh-CN" w:val="$([{£¥·‘“〈《「『【〔〖〝﹙﹛﹝＄（．［｛￡￥"/>
  <w:noLineBreaksBefore w:lang="zh-CN" w:val="!%),.:;&gt;?]}¢¨°·ˇˉ―‖’”…‰′″›℃∶、。〃〉》」』】〕〗〞︶︺︾﹀﹄﹚﹜﹞！＂％＇），．：；？］｀｜｝～￠"/>
  <w:doNotValidateAgainstSchema/>
  <w:doNotDemarcateInvalidXml/>
  <w:hdrShapeDefaults>
    <o:shapelayout v:ext="edit">
      <o:idmap v:ext="edit" data="3,4"/>
    </o:shapelayout>
  </w:hdrShapeDefaults>
  <w:compat>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4F50"/>
    <w:rsid w:val="00030575"/>
    <w:rsid w:val="00144928"/>
    <w:rsid w:val="00152278"/>
    <w:rsid w:val="00156A5B"/>
    <w:rsid w:val="00172A27"/>
    <w:rsid w:val="00173DFE"/>
    <w:rsid w:val="00182069"/>
    <w:rsid w:val="00184360"/>
    <w:rsid w:val="001A01A7"/>
    <w:rsid w:val="001B7F5A"/>
    <w:rsid w:val="001F14A9"/>
    <w:rsid w:val="0020721C"/>
    <w:rsid w:val="002145BF"/>
    <w:rsid w:val="00217751"/>
    <w:rsid w:val="00231111"/>
    <w:rsid w:val="00253F69"/>
    <w:rsid w:val="0026494E"/>
    <w:rsid w:val="00276350"/>
    <w:rsid w:val="00276ED1"/>
    <w:rsid w:val="002A52FC"/>
    <w:rsid w:val="002A7F82"/>
    <w:rsid w:val="002D29A9"/>
    <w:rsid w:val="00304F12"/>
    <w:rsid w:val="00315424"/>
    <w:rsid w:val="003414F1"/>
    <w:rsid w:val="00357887"/>
    <w:rsid w:val="00367CB9"/>
    <w:rsid w:val="00382277"/>
    <w:rsid w:val="003A61A9"/>
    <w:rsid w:val="003A69E1"/>
    <w:rsid w:val="003B374E"/>
    <w:rsid w:val="003E5378"/>
    <w:rsid w:val="003F1397"/>
    <w:rsid w:val="003F340F"/>
    <w:rsid w:val="00442174"/>
    <w:rsid w:val="00445273"/>
    <w:rsid w:val="00451BB0"/>
    <w:rsid w:val="00454912"/>
    <w:rsid w:val="004732D4"/>
    <w:rsid w:val="00485695"/>
    <w:rsid w:val="00485771"/>
    <w:rsid w:val="004C3442"/>
    <w:rsid w:val="004D3A0A"/>
    <w:rsid w:val="004E1956"/>
    <w:rsid w:val="004F0491"/>
    <w:rsid w:val="004F6C1B"/>
    <w:rsid w:val="005150BD"/>
    <w:rsid w:val="00521525"/>
    <w:rsid w:val="005253DE"/>
    <w:rsid w:val="00585A14"/>
    <w:rsid w:val="00591A49"/>
    <w:rsid w:val="005A098B"/>
    <w:rsid w:val="005D2CA9"/>
    <w:rsid w:val="005F0A78"/>
    <w:rsid w:val="006133B0"/>
    <w:rsid w:val="00632353"/>
    <w:rsid w:val="00641CB7"/>
    <w:rsid w:val="0067245C"/>
    <w:rsid w:val="00683335"/>
    <w:rsid w:val="006E6FF3"/>
    <w:rsid w:val="006F51E7"/>
    <w:rsid w:val="007077D1"/>
    <w:rsid w:val="00712796"/>
    <w:rsid w:val="007416FA"/>
    <w:rsid w:val="0075363C"/>
    <w:rsid w:val="007C50D9"/>
    <w:rsid w:val="007E3982"/>
    <w:rsid w:val="00814852"/>
    <w:rsid w:val="00821ABD"/>
    <w:rsid w:val="00851E63"/>
    <w:rsid w:val="00870CB6"/>
    <w:rsid w:val="00872DF6"/>
    <w:rsid w:val="008D56D2"/>
    <w:rsid w:val="008E5E73"/>
    <w:rsid w:val="008F6AE9"/>
    <w:rsid w:val="009007A0"/>
    <w:rsid w:val="0090189A"/>
    <w:rsid w:val="00913626"/>
    <w:rsid w:val="00914DC3"/>
    <w:rsid w:val="00950A46"/>
    <w:rsid w:val="0095720D"/>
    <w:rsid w:val="00963CCB"/>
    <w:rsid w:val="00974827"/>
    <w:rsid w:val="00997E89"/>
    <w:rsid w:val="009C62BF"/>
    <w:rsid w:val="009D41C6"/>
    <w:rsid w:val="009E093D"/>
    <w:rsid w:val="009E74FC"/>
    <w:rsid w:val="00A04DEB"/>
    <w:rsid w:val="00A169E8"/>
    <w:rsid w:val="00A45587"/>
    <w:rsid w:val="00A50E83"/>
    <w:rsid w:val="00A65BB2"/>
    <w:rsid w:val="00A723B6"/>
    <w:rsid w:val="00A84288"/>
    <w:rsid w:val="00AA1DA3"/>
    <w:rsid w:val="00AA501E"/>
    <w:rsid w:val="00AB1EC2"/>
    <w:rsid w:val="00AD372A"/>
    <w:rsid w:val="00AE375E"/>
    <w:rsid w:val="00AF09F4"/>
    <w:rsid w:val="00AF7B9F"/>
    <w:rsid w:val="00B14300"/>
    <w:rsid w:val="00B31DF1"/>
    <w:rsid w:val="00B40482"/>
    <w:rsid w:val="00B60499"/>
    <w:rsid w:val="00B741E3"/>
    <w:rsid w:val="00B7551B"/>
    <w:rsid w:val="00B84E3E"/>
    <w:rsid w:val="00BA1459"/>
    <w:rsid w:val="00BC1556"/>
    <w:rsid w:val="00BE39B6"/>
    <w:rsid w:val="00C21CE5"/>
    <w:rsid w:val="00C23E91"/>
    <w:rsid w:val="00C47909"/>
    <w:rsid w:val="00C81BE2"/>
    <w:rsid w:val="00C903D6"/>
    <w:rsid w:val="00C952FB"/>
    <w:rsid w:val="00D42109"/>
    <w:rsid w:val="00D4350D"/>
    <w:rsid w:val="00D555BC"/>
    <w:rsid w:val="00D73568"/>
    <w:rsid w:val="00D7419D"/>
    <w:rsid w:val="00DB4854"/>
    <w:rsid w:val="00DC37D9"/>
    <w:rsid w:val="00DD27AE"/>
    <w:rsid w:val="00E049F9"/>
    <w:rsid w:val="00E16FBF"/>
    <w:rsid w:val="00E40DFA"/>
    <w:rsid w:val="00E53D7A"/>
    <w:rsid w:val="00E6568D"/>
    <w:rsid w:val="00E65FC5"/>
    <w:rsid w:val="00E66577"/>
    <w:rsid w:val="00EA6FA2"/>
    <w:rsid w:val="00EB3A2B"/>
    <w:rsid w:val="00F036B5"/>
    <w:rsid w:val="00F24403"/>
    <w:rsid w:val="00F3298B"/>
    <w:rsid w:val="00F47675"/>
    <w:rsid w:val="00F649D2"/>
    <w:rsid w:val="00F676BB"/>
    <w:rsid w:val="00F86B8A"/>
    <w:rsid w:val="00FC2542"/>
    <w:rsid w:val="00FD5084"/>
    <w:rsid w:val="094A52C5"/>
    <w:rsid w:val="0D96273F"/>
    <w:rsid w:val="0E06478B"/>
    <w:rsid w:val="13456387"/>
    <w:rsid w:val="1CDE4EB6"/>
    <w:rsid w:val="1D770124"/>
    <w:rsid w:val="2AD60956"/>
    <w:rsid w:val="2B0C49D1"/>
    <w:rsid w:val="2BD13B56"/>
    <w:rsid w:val="352C6463"/>
    <w:rsid w:val="35B433B2"/>
    <w:rsid w:val="476554E3"/>
    <w:rsid w:val="550C43C0"/>
    <w:rsid w:val="562E730F"/>
    <w:rsid w:val="5B4E5108"/>
    <w:rsid w:val="5E9D3CD9"/>
    <w:rsid w:val="697A67D8"/>
    <w:rsid w:val="6FD90853"/>
    <w:rsid w:val="708F67A8"/>
    <w:rsid w:val="78612391"/>
    <w:rsid w:val="7B913E2C"/>
    <w:rsid w:val="7EB824D5"/>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name="Hyperlink"/>
    <w:lsdException w:qFormat="1" w:unhideWhenUsed="0"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Calibri" w:hAnsi="Calibri" w:eastAsia="宋体" w:cs="Calibri"/>
      <w:kern w:val="2"/>
      <w:sz w:val="22"/>
      <w:szCs w:val="22"/>
      <w:lang w:val="en-US" w:eastAsia="en-US" w:bidi="ar-SA"/>
    </w:rPr>
  </w:style>
  <w:style w:type="paragraph" w:styleId="2">
    <w:name w:val="heading 1"/>
    <w:basedOn w:val="1"/>
    <w:next w:val="1"/>
    <w:link w:val="12"/>
    <w:qFormat/>
    <w:uiPriority w:val="99"/>
    <w:pPr>
      <w:ind w:left="487"/>
      <w:outlineLvl w:val="0"/>
    </w:pPr>
    <w:rPr>
      <w:rFonts w:ascii="宋体" w:hAnsi="宋体" w:cs="宋体"/>
      <w:b/>
      <w:bCs/>
      <w:sz w:val="44"/>
      <w:szCs w:val="44"/>
    </w:rPr>
  </w:style>
  <w:style w:type="character" w:default="1" w:styleId="8">
    <w:name w:val="Default Paragraph Font"/>
    <w:semiHidden/>
    <w:uiPriority w:val="99"/>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styleId="3">
    <w:name w:val="Body Text"/>
    <w:basedOn w:val="1"/>
    <w:link w:val="13"/>
    <w:uiPriority w:val="99"/>
    <w:pPr>
      <w:ind w:left="120" w:firstLine="640"/>
    </w:pPr>
    <w:rPr>
      <w:rFonts w:ascii="宋体" w:hAnsi="宋体" w:cs="宋体"/>
      <w:sz w:val="32"/>
      <w:szCs w:val="32"/>
    </w:rPr>
  </w:style>
  <w:style w:type="paragraph" w:styleId="4">
    <w:name w:val="Balloon Text"/>
    <w:basedOn w:val="1"/>
    <w:link w:val="19"/>
    <w:semiHidden/>
    <w:qFormat/>
    <w:uiPriority w:val="99"/>
    <w:rPr>
      <w:sz w:val="18"/>
      <w:szCs w:val="18"/>
    </w:rPr>
  </w:style>
  <w:style w:type="paragraph" w:styleId="5">
    <w:name w:val="footer"/>
    <w:basedOn w:val="1"/>
    <w:link w:val="14"/>
    <w:qFormat/>
    <w:uiPriority w:val="99"/>
    <w:pPr>
      <w:tabs>
        <w:tab w:val="center" w:pos="4153"/>
        <w:tab w:val="right" w:pos="8306"/>
      </w:tabs>
      <w:snapToGrid w:val="0"/>
    </w:pPr>
    <w:rPr>
      <w:sz w:val="18"/>
      <w:szCs w:val="18"/>
    </w:rPr>
  </w:style>
  <w:style w:type="paragraph" w:styleId="6">
    <w:name w:val="header"/>
    <w:basedOn w:val="1"/>
    <w:link w:val="15"/>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qFormat/>
    <w:uiPriority w:val="99"/>
    <w:rPr>
      <w:sz w:val="24"/>
      <w:szCs w:val="24"/>
      <w:lang w:eastAsia="zh-CN"/>
    </w:rPr>
  </w:style>
  <w:style w:type="character" w:styleId="9">
    <w:name w:val="FollowedHyperlink"/>
    <w:basedOn w:val="8"/>
    <w:semiHidden/>
    <w:qFormat/>
    <w:uiPriority w:val="99"/>
    <w:rPr>
      <w:color w:val="333333"/>
      <w:u w:val="none"/>
    </w:rPr>
  </w:style>
  <w:style w:type="character" w:styleId="10">
    <w:name w:val="Hyperlink"/>
    <w:basedOn w:val="8"/>
    <w:semiHidden/>
    <w:qFormat/>
    <w:uiPriority w:val="99"/>
    <w:rPr>
      <w:color w:val="333333"/>
      <w:u w:val="none"/>
    </w:rPr>
  </w:style>
  <w:style w:type="character" w:customStyle="1" w:styleId="12">
    <w:name w:val="Heading 1 Char"/>
    <w:basedOn w:val="8"/>
    <w:link w:val="2"/>
    <w:qFormat/>
    <w:locked/>
    <w:uiPriority w:val="99"/>
    <w:rPr>
      <w:rFonts w:ascii="Calibri" w:hAnsi="Calibri" w:cs="Calibri"/>
      <w:b/>
      <w:bCs/>
      <w:kern w:val="44"/>
      <w:sz w:val="44"/>
      <w:szCs w:val="44"/>
      <w:lang w:eastAsia="en-US"/>
    </w:rPr>
  </w:style>
  <w:style w:type="character" w:customStyle="1" w:styleId="13">
    <w:name w:val="Body Text Char"/>
    <w:basedOn w:val="8"/>
    <w:link w:val="3"/>
    <w:semiHidden/>
    <w:qFormat/>
    <w:locked/>
    <w:uiPriority w:val="99"/>
    <w:rPr>
      <w:rFonts w:ascii="Calibri" w:hAnsi="Calibri" w:cs="Calibri"/>
      <w:sz w:val="22"/>
      <w:szCs w:val="22"/>
      <w:lang w:eastAsia="en-US"/>
    </w:rPr>
  </w:style>
  <w:style w:type="character" w:customStyle="1" w:styleId="14">
    <w:name w:val="Footer Char"/>
    <w:basedOn w:val="8"/>
    <w:link w:val="5"/>
    <w:qFormat/>
    <w:locked/>
    <w:uiPriority w:val="99"/>
    <w:rPr>
      <w:sz w:val="18"/>
      <w:szCs w:val="18"/>
    </w:rPr>
  </w:style>
  <w:style w:type="character" w:customStyle="1" w:styleId="15">
    <w:name w:val="Header Char"/>
    <w:basedOn w:val="8"/>
    <w:link w:val="6"/>
    <w:qFormat/>
    <w:locked/>
    <w:uiPriority w:val="99"/>
    <w:rPr>
      <w:sz w:val="18"/>
      <w:szCs w:val="18"/>
    </w:rPr>
  </w:style>
  <w:style w:type="table" w:customStyle="1" w:styleId="16">
    <w:name w:val="Table Normal1"/>
    <w:semiHidden/>
    <w:qFormat/>
    <w:uiPriority w:val="99"/>
    <w:rPr>
      <w:sz w:val="20"/>
      <w:szCs w:val="20"/>
    </w:rPr>
    <w:tblPr>
      <w:tblLayout w:type="fixed"/>
      <w:tblCellMar>
        <w:top w:w="0" w:type="dxa"/>
        <w:left w:w="0" w:type="dxa"/>
        <w:bottom w:w="0" w:type="dxa"/>
        <w:right w:w="0" w:type="dxa"/>
      </w:tblCellMar>
    </w:tblPr>
  </w:style>
  <w:style w:type="paragraph" w:styleId="17">
    <w:name w:val="List Paragraph"/>
    <w:basedOn w:val="1"/>
    <w:qFormat/>
    <w:uiPriority w:val="99"/>
  </w:style>
  <w:style w:type="paragraph" w:customStyle="1" w:styleId="18">
    <w:name w:val="Table Paragraph"/>
    <w:basedOn w:val="1"/>
    <w:qFormat/>
    <w:uiPriority w:val="99"/>
  </w:style>
  <w:style w:type="character" w:customStyle="1" w:styleId="19">
    <w:name w:val="Balloon Text Char"/>
    <w:basedOn w:val="8"/>
    <w:link w:val="4"/>
    <w:semiHidden/>
    <w:qFormat/>
    <w:locked/>
    <w:uiPriority w:val="99"/>
    <w:rPr>
      <w:rFonts w:ascii="Calibri" w:hAnsi="Calibri" w:eastAsia="宋体" w:cs="Calibri"/>
      <w:sz w:val="18"/>
      <w:szCs w:val="18"/>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100000" t="-60000" r="100000" b="200000"/>
          </a:path>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微软中国</Company>
  <Pages>3</Pages>
  <Words>210</Words>
  <Characters>1198</Characters>
  <Lines>0</Lines>
  <Paragraphs>0</Paragraphs>
  <TotalTime>63</TotalTime>
  <ScaleCrop>false</ScaleCrop>
  <LinksUpToDate>false</LinksUpToDate>
  <CharactersWithSpaces>0</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2019-02-28T08:18:00Z</dcterms:created>
  <dc:creator>admin</dc:creator>
  <cp:lastModifiedBy>Dell</cp:lastModifiedBy>
  <cp:lastPrinted>2019-02-28T08:27:00Z</cp:lastPrinted>
  <dcterms:modified xsi:type="dcterms:W3CDTF">2019-03-01T03:17:42Z</dcterms:modified>
  <dc:title>苏州大学</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